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897949" w:rsidP="003560E2">
            <w:pPr>
              <w:spacing w:before="40"/>
              <w:rPr>
                <w:rFonts w:ascii="Tahoma" w:hAnsi="Tahoma" w:cs="Tahoma"/>
                <w:sz w:val="20"/>
                <w:szCs w:val="20"/>
              </w:rPr>
            </w:pPr>
            <w:r>
              <w:rPr>
                <w:rFonts w:ascii="Tahoma" w:hAnsi="Tahoma" w:cs="Tahoma"/>
                <w:color w:val="0000FF"/>
                <w:sz w:val="20"/>
                <w:szCs w:val="20"/>
              </w:rPr>
              <w:t>43001-353/2021-2</w:t>
            </w:r>
            <w:r w:rsidR="00D652EB">
              <w:rPr>
                <w:rFonts w:ascii="Tahoma" w:hAnsi="Tahoma" w:cs="Tahoma"/>
                <w:color w:val="0000FF"/>
                <w:sz w:val="20"/>
                <w:szCs w:val="20"/>
              </w:rPr>
              <w:t>3</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D53FCF" w:rsidP="00897949">
            <w:pPr>
              <w:spacing w:before="40"/>
              <w:rPr>
                <w:rFonts w:ascii="Tahoma" w:hAnsi="Tahoma" w:cs="Tahoma"/>
                <w:sz w:val="20"/>
                <w:szCs w:val="20"/>
              </w:rPr>
            </w:pPr>
            <w:r>
              <w:rPr>
                <w:rFonts w:ascii="Tahoma" w:hAnsi="Tahoma" w:cs="Tahoma"/>
                <w:color w:val="0000FF"/>
                <w:sz w:val="20"/>
                <w:szCs w:val="20"/>
              </w:rPr>
              <w:t>4</w:t>
            </w:r>
            <w:r w:rsidR="00FF53C4" w:rsidRPr="00FF53C4">
              <w:rPr>
                <w:rFonts w:ascii="Tahoma" w:hAnsi="Tahoma" w:cs="Tahoma"/>
                <w:color w:val="0000FF"/>
                <w:sz w:val="20"/>
                <w:szCs w:val="20"/>
              </w:rPr>
              <w:t>.</w:t>
            </w:r>
            <w:r w:rsidR="00897949">
              <w:rPr>
                <w:rFonts w:ascii="Tahoma" w:hAnsi="Tahoma" w:cs="Tahoma"/>
                <w:color w:val="0000FF"/>
                <w:sz w:val="20"/>
                <w:szCs w:val="20"/>
              </w:rPr>
              <w:t>10</w:t>
            </w:r>
            <w:r w:rsidR="00FF53C4" w:rsidRPr="00FF53C4">
              <w:rPr>
                <w:rFonts w:ascii="Tahoma" w:hAnsi="Tahoma" w:cs="Tahoma"/>
                <w:color w:val="0000FF"/>
                <w:sz w:val="20"/>
                <w:szCs w:val="20"/>
              </w:rPr>
              <w:t>.2021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rsidP="00424A5A">
      <w:pPr>
        <w:pStyle w:val="Telobesedila2"/>
        <w:ind w:left="-181" w:right="-210"/>
        <w:rPr>
          <w:rFonts w:ascii="Tahoma" w:hAnsi="Tahoma" w:cs="Tahoma"/>
          <w:szCs w:val="20"/>
        </w:rPr>
      </w:pPr>
    </w:p>
    <w:p w:rsidR="00424A5A" w:rsidRPr="00FF53C4" w:rsidRDefault="00424A5A">
      <w:pPr>
        <w:rPr>
          <w:rFonts w:ascii="Tahoma" w:hAnsi="Tahoma" w:cs="Tahoma"/>
          <w:sz w:val="20"/>
          <w:szCs w:val="20"/>
        </w:rPr>
      </w:pPr>
    </w:p>
    <w:p w:rsidR="00556816" w:rsidRPr="00FF53C4" w:rsidRDefault="00556816">
      <w:pPr>
        <w:rPr>
          <w:rFonts w:ascii="Tahoma" w:hAnsi="Tahoma" w:cs="Tahoma"/>
          <w:sz w:val="20"/>
          <w:szCs w:val="20"/>
        </w:rPr>
      </w:pPr>
    </w:p>
    <w:p w:rsidR="00424A5A" w:rsidRPr="00FF53C4" w:rsidRDefault="00424A5A">
      <w:pPr>
        <w:rPr>
          <w:rFonts w:ascii="Tahoma" w:hAnsi="Tahoma" w:cs="Tahoma"/>
          <w:sz w:val="20"/>
          <w:szCs w:val="20"/>
        </w:rPr>
      </w:pPr>
    </w:p>
    <w:p w:rsidR="00E813F4" w:rsidRPr="00FF53C4" w:rsidRDefault="00E813F4" w:rsidP="00E813F4">
      <w:pPr>
        <w:rPr>
          <w:rFonts w:ascii="Tahoma" w:hAnsi="Tahoma" w:cs="Tahoma"/>
          <w:sz w:val="20"/>
          <w:szCs w:val="20"/>
        </w:rPr>
      </w:pPr>
    </w:p>
    <w:p w:rsidR="00E813F4" w:rsidRPr="00FF53C4" w:rsidRDefault="00E813F4" w:rsidP="00E813F4">
      <w:pPr>
        <w:pStyle w:val="Konnaopomba-besedilo"/>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Konnaopomba-besedilo"/>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Konnaopomba-besedilo"/>
        <w:rPr>
          <w:rFonts w:ascii="Tahoma" w:hAnsi="Tahoma" w:cs="Tahoma"/>
          <w:szCs w:val="20"/>
        </w:rPr>
      </w:pPr>
    </w:p>
    <w:p w:rsidR="00421760" w:rsidRPr="004D420A" w:rsidRDefault="00421760" w:rsidP="00E813F4">
      <w:pPr>
        <w:pStyle w:val="Konnaopomba-besedilo"/>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4D420A" w:rsidTr="00421760">
        <w:trPr>
          <w:jc w:val="center"/>
        </w:trPr>
        <w:tc>
          <w:tcPr>
            <w:tcW w:w="9288" w:type="dxa"/>
          </w:tcPr>
          <w:p w:rsidR="00421760" w:rsidRPr="004D420A" w:rsidRDefault="00421760" w:rsidP="00421760">
            <w:pPr>
              <w:rPr>
                <w:rFonts w:ascii="Tahoma" w:hAnsi="Tahoma" w:cs="Tahoma"/>
                <w:b/>
                <w:sz w:val="20"/>
                <w:szCs w:val="20"/>
              </w:rPr>
            </w:pPr>
          </w:p>
        </w:tc>
      </w:tr>
    </w:tbl>
    <w:p w:rsidR="00E813F4" w:rsidRPr="00D652EB" w:rsidRDefault="00FF53C4" w:rsidP="00897949">
      <w:pPr>
        <w:spacing w:before="128" w:after="128"/>
        <w:outlineLvl w:val="3"/>
        <w:rPr>
          <w:rFonts w:ascii="Tahoma" w:hAnsi="Tahoma" w:cs="Tahoma"/>
          <w:b/>
          <w:sz w:val="20"/>
          <w:szCs w:val="20"/>
        </w:rPr>
      </w:pPr>
      <w:r w:rsidRPr="00D652EB">
        <w:rPr>
          <w:rFonts w:ascii="Tahoma" w:hAnsi="Tahoma" w:cs="Tahoma"/>
          <w:b/>
          <w:color w:val="333333"/>
          <w:sz w:val="20"/>
          <w:szCs w:val="20"/>
          <w:lang w:eastAsia="sl-SI"/>
        </w:rPr>
        <w:t>JN006076/2021-</w:t>
      </w:r>
      <w:r w:rsidR="00D53FCF" w:rsidRPr="00D652EB">
        <w:rPr>
          <w:rFonts w:ascii="Tahoma" w:hAnsi="Tahoma" w:cs="Tahoma"/>
          <w:b/>
          <w:color w:val="333333"/>
          <w:sz w:val="20"/>
          <w:szCs w:val="20"/>
          <w:lang w:eastAsia="sl-SI"/>
        </w:rPr>
        <w:t>4</w:t>
      </w:r>
      <w:r w:rsidR="00897949" w:rsidRPr="00D652EB">
        <w:rPr>
          <w:rFonts w:ascii="Tahoma" w:hAnsi="Tahoma" w:cs="Tahoma"/>
          <w:b/>
          <w:color w:val="333333"/>
          <w:sz w:val="20"/>
          <w:szCs w:val="20"/>
          <w:shd w:val="clear" w:color="auto" w:fill="FFFFFF"/>
        </w:rPr>
        <w:t>.10</w:t>
      </w:r>
      <w:r w:rsidRPr="00D652EB">
        <w:rPr>
          <w:rFonts w:ascii="Tahoma" w:hAnsi="Tahoma" w:cs="Tahoma"/>
          <w:b/>
          <w:color w:val="333333"/>
          <w:sz w:val="20"/>
          <w:szCs w:val="20"/>
          <w:shd w:val="clear" w:color="auto" w:fill="FFFFFF"/>
        </w:rPr>
        <w:t>.2021   </w:t>
      </w:r>
      <w:r w:rsidR="00D652EB" w:rsidRPr="00D652EB">
        <w:rPr>
          <w:rFonts w:ascii="Tahoma" w:hAnsi="Tahoma" w:cs="Tahoma"/>
          <w:b/>
          <w:color w:val="333333"/>
          <w:sz w:val="20"/>
          <w:szCs w:val="20"/>
          <w:shd w:val="clear" w:color="auto" w:fill="FFFFFF"/>
        </w:rPr>
        <w:t>10</w:t>
      </w:r>
      <w:r w:rsidR="00945D7A" w:rsidRPr="00D652EB">
        <w:rPr>
          <w:rFonts w:ascii="Tahoma" w:hAnsi="Tahoma" w:cs="Tahoma"/>
          <w:b/>
          <w:color w:val="333333"/>
          <w:sz w:val="20"/>
          <w:szCs w:val="20"/>
          <w:shd w:val="clear" w:color="auto" w:fill="FFFFFF"/>
        </w:rPr>
        <w:t>:</w:t>
      </w:r>
      <w:r w:rsidR="00D652EB" w:rsidRPr="00D652EB">
        <w:rPr>
          <w:rFonts w:ascii="Tahoma" w:hAnsi="Tahoma" w:cs="Tahoma"/>
          <w:b/>
          <w:color w:val="333333"/>
          <w:sz w:val="20"/>
          <w:szCs w:val="20"/>
          <w:shd w:val="clear" w:color="auto" w:fill="FFFFFF"/>
        </w:rPr>
        <w:t>1</w:t>
      </w:r>
      <w:r w:rsidR="006279A0" w:rsidRPr="00D652EB">
        <w:rPr>
          <w:rFonts w:ascii="Tahoma" w:hAnsi="Tahoma" w:cs="Tahoma"/>
          <w:b/>
          <w:color w:val="333333"/>
          <w:sz w:val="20"/>
          <w:szCs w:val="20"/>
          <w:shd w:val="clear" w:color="auto" w:fill="FFFFFF"/>
        </w:rPr>
        <w:t>4</w:t>
      </w:r>
    </w:p>
    <w:p w:rsidR="00E813F4" w:rsidRPr="00D652EB" w:rsidRDefault="00E813F4" w:rsidP="00176413">
      <w:pPr>
        <w:pStyle w:val="Telobesedila2"/>
        <w:widowControl w:val="0"/>
        <w:spacing w:line="254" w:lineRule="atLeast"/>
        <w:jc w:val="left"/>
        <w:rPr>
          <w:rFonts w:ascii="Tahoma" w:hAnsi="Tahoma" w:cs="Tahoma"/>
          <w:b/>
          <w:szCs w:val="20"/>
        </w:rPr>
      </w:pPr>
      <w:r w:rsidRPr="00D652EB">
        <w:rPr>
          <w:rFonts w:ascii="Tahoma" w:hAnsi="Tahoma" w:cs="Tahoma"/>
          <w:b/>
          <w:szCs w:val="20"/>
        </w:rPr>
        <w:t>Vprašanje:</w:t>
      </w:r>
    </w:p>
    <w:p w:rsidR="00E813F4" w:rsidRPr="00D652EB" w:rsidRDefault="00E813F4" w:rsidP="00176413">
      <w:pPr>
        <w:widowControl w:val="0"/>
        <w:spacing w:before="60" w:line="254" w:lineRule="atLeast"/>
        <w:rPr>
          <w:rFonts w:ascii="Tahoma" w:hAnsi="Tahoma" w:cs="Tahoma"/>
          <w:b/>
          <w:sz w:val="20"/>
          <w:szCs w:val="20"/>
        </w:rPr>
      </w:pPr>
    </w:p>
    <w:p w:rsidR="00D53FCF" w:rsidRPr="00D652EB" w:rsidRDefault="00D652EB" w:rsidP="00176413">
      <w:pPr>
        <w:pStyle w:val="Telobesedila2"/>
        <w:jc w:val="left"/>
        <w:rPr>
          <w:rFonts w:ascii="Tahoma" w:hAnsi="Tahoma" w:cs="Tahoma"/>
          <w:b/>
          <w:szCs w:val="20"/>
        </w:rPr>
      </w:pPr>
      <w:r w:rsidRPr="00D652EB">
        <w:rPr>
          <w:rFonts w:ascii="Tahoma" w:hAnsi="Tahoma" w:cs="Tahoma"/>
          <w:color w:val="333333"/>
          <w:szCs w:val="20"/>
          <w:shd w:val="clear" w:color="auto" w:fill="FFFFFF"/>
        </w:rPr>
        <w:t>Spoštovani,</w:t>
      </w:r>
      <w:r w:rsidRPr="00D652EB">
        <w:rPr>
          <w:rFonts w:ascii="Tahoma" w:hAnsi="Tahoma" w:cs="Tahoma"/>
          <w:color w:val="333333"/>
          <w:szCs w:val="20"/>
        </w:rPr>
        <w:br/>
      </w:r>
      <w:r w:rsidRPr="00D652EB">
        <w:rPr>
          <w:rFonts w:ascii="Tahoma" w:hAnsi="Tahoma" w:cs="Tahoma"/>
          <w:color w:val="333333"/>
          <w:szCs w:val="20"/>
        </w:rPr>
        <w:br/>
      </w:r>
      <w:r w:rsidRPr="00D652EB">
        <w:rPr>
          <w:rFonts w:ascii="Tahoma" w:hAnsi="Tahoma" w:cs="Tahoma"/>
          <w:color w:val="333333"/>
          <w:szCs w:val="20"/>
          <w:shd w:val="clear" w:color="auto" w:fill="FFFFFF"/>
        </w:rPr>
        <w:t>prosimo za obrazložitev referenčnega posla pod četrto in peto alinejo točke 3.2, priloge 2 - Pogoji za koncesionarja:</w:t>
      </w:r>
      <w:r w:rsidRPr="00D652EB">
        <w:rPr>
          <w:rFonts w:ascii="Tahoma" w:hAnsi="Tahoma" w:cs="Tahoma"/>
          <w:color w:val="333333"/>
          <w:szCs w:val="20"/>
        </w:rPr>
        <w:br/>
      </w:r>
      <w:r w:rsidRPr="00D652EB">
        <w:rPr>
          <w:rFonts w:ascii="Tahoma" w:hAnsi="Tahoma" w:cs="Tahoma"/>
          <w:color w:val="333333"/>
          <w:szCs w:val="20"/>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D652EB">
        <w:rPr>
          <w:rFonts w:ascii="Tahoma" w:hAnsi="Tahoma" w:cs="Tahoma"/>
          <w:color w:val="333333"/>
          <w:szCs w:val="20"/>
        </w:rPr>
        <w:br/>
      </w:r>
      <w:r w:rsidRPr="00D652EB">
        <w:rPr>
          <w:rFonts w:ascii="Tahoma" w:hAnsi="Tahoma" w:cs="Tahoma"/>
          <w:color w:val="333333"/>
          <w:szCs w:val="20"/>
          <w:shd w:val="clear" w:color="auto" w:fill="FFFFFF"/>
        </w:rPr>
        <w:t>- obnovo talnih obeležb na voziščih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D652EB">
        <w:rPr>
          <w:rFonts w:ascii="Tahoma" w:hAnsi="Tahoma" w:cs="Tahoma"/>
          <w:color w:val="333333"/>
          <w:szCs w:val="20"/>
        </w:rPr>
        <w:br/>
      </w:r>
      <w:r w:rsidRPr="00D652EB">
        <w:rPr>
          <w:rFonts w:ascii="Tahoma" w:hAnsi="Tahoma" w:cs="Tahoma"/>
          <w:color w:val="333333"/>
          <w:szCs w:val="20"/>
        </w:rPr>
        <w:br/>
      </w:r>
      <w:r w:rsidRPr="00D652EB">
        <w:rPr>
          <w:rFonts w:ascii="Tahoma" w:hAnsi="Tahoma" w:cs="Tahoma"/>
          <w:color w:val="333333"/>
          <w:szCs w:val="20"/>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6279A0" w:rsidRDefault="006279A0" w:rsidP="00176413">
      <w:pPr>
        <w:pStyle w:val="Telobesedila2"/>
        <w:jc w:val="left"/>
        <w:rPr>
          <w:rFonts w:ascii="Tahoma" w:hAnsi="Tahoma" w:cs="Tahoma"/>
          <w:b/>
          <w:szCs w:val="20"/>
        </w:rPr>
      </w:pPr>
    </w:p>
    <w:p w:rsidR="00D652EB" w:rsidRPr="00D652EB" w:rsidRDefault="00D652EB" w:rsidP="00176413">
      <w:pPr>
        <w:pStyle w:val="Telobesedila2"/>
        <w:jc w:val="left"/>
        <w:rPr>
          <w:rFonts w:ascii="Tahoma" w:hAnsi="Tahoma" w:cs="Tahoma"/>
          <w:b/>
          <w:szCs w:val="20"/>
        </w:rPr>
      </w:pPr>
    </w:p>
    <w:p w:rsidR="00E813F4" w:rsidRPr="00D652EB" w:rsidRDefault="00E813F4" w:rsidP="00176413">
      <w:pPr>
        <w:pStyle w:val="Telobesedila2"/>
        <w:jc w:val="left"/>
        <w:rPr>
          <w:rFonts w:ascii="Tahoma" w:hAnsi="Tahoma" w:cs="Tahoma"/>
          <w:b/>
          <w:szCs w:val="20"/>
        </w:rPr>
      </w:pPr>
      <w:r w:rsidRPr="00D652EB">
        <w:rPr>
          <w:rFonts w:ascii="Tahoma" w:hAnsi="Tahoma" w:cs="Tahoma"/>
          <w:b/>
          <w:szCs w:val="20"/>
        </w:rPr>
        <w:t>Odgovor:</w:t>
      </w:r>
    </w:p>
    <w:p w:rsidR="00C96F4F" w:rsidRPr="00D652EB" w:rsidRDefault="00C96F4F" w:rsidP="00176413">
      <w:pPr>
        <w:pStyle w:val="Telobesedila2"/>
        <w:jc w:val="left"/>
        <w:rPr>
          <w:rFonts w:ascii="Tahoma" w:hAnsi="Tahoma" w:cs="Tahoma"/>
          <w:b/>
          <w:szCs w:val="20"/>
        </w:rPr>
      </w:pPr>
    </w:p>
    <w:p w:rsidR="00F17681" w:rsidRDefault="00F17681" w:rsidP="00F17681">
      <w:pPr>
        <w:pStyle w:val="Telobesedila2"/>
        <w:jc w:val="left"/>
        <w:rPr>
          <w:rFonts w:ascii="Tahoma" w:hAnsi="Tahoma" w:cs="Tahoma"/>
          <w:color w:val="333333"/>
          <w:szCs w:val="20"/>
          <w:shd w:val="clear" w:color="auto" w:fill="FFFFFF"/>
        </w:rPr>
      </w:pPr>
      <w:r>
        <w:rPr>
          <w:rFonts w:ascii="Tahoma" w:hAnsi="Tahoma" w:cs="Tahoma"/>
          <w:color w:val="333333"/>
          <w:szCs w:val="20"/>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F17681">
        <w:rPr>
          <w:rFonts w:ascii="Tahoma" w:hAnsi="Tahoma" w:cs="Tahoma"/>
          <w:color w:val="333333"/>
          <w:szCs w:val="20"/>
          <w:u w:val="single"/>
          <w:shd w:val="clear" w:color="auto" w:fill="FFFFFF"/>
        </w:rPr>
        <w:t>cestno omrežje v zahtevani dolžini</w:t>
      </w:r>
      <w:r>
        <w:rPr>
          <w:rFonts w:ascii="Tahoma" w:hAnsi="Tahoma" w:cs="Tahoma"/>
          <w:color w:val="333333"/>
          <w:szCs w:val="20"/>
          <w:shd w:val="clear" w:color="auto" w:fill="FFFFFF"/>
        </w:rPr>
        <w:t xml:space="preserve">, pri čemer so dela obsegala tudi stojno in ročno krpanje asfaltnih vozišč ter obnovo talnih </w:t>
      </w:r>
      <w:proofErr w:type="gramStart"/>
      <w:r>
        <w:rPr>
          <w:rFonts w:ascii="Tahoma" w:hAnsi="Tahoma" w:cs="Tahoma"/>
          <w:color w:val="333333"/>
          <w:szCs w:val="20"/>
          <w:shd w:val="clear" w:color="auto" w:fill="FFFFFF"/>
        </w:rPr>
        <w:t>obeležb</w:t>
      </w:r>
      <w:proofErr w:type="gramEnd"/>
      <w:r>
        <w:rPr>
          <w:rFonts w:ascii="Tahoma" w:hAnsi="Tahoma" w:cs="Tahoma"/>
          <w:color w:val="333333"/>
          <w:szCs w:val="20"/>
          <w:shd w:val="clear" w:color="auto" w:fill="FFFFFF"/>
        </w:rPr>
        <w:t xml:space="preserve">. </w:t>
      </w:r>
    </w:p>
    <w:p w:rsidR="00556816" w:rsidRPr="00D652EB" w:rsidRDefault="00556816" w:rsidP="00176413">
      <w:pPr>
        <w:rPr>
          <w:rFonts w:ascii="Tahoma" w:hAnsi="Tahoma" w:cs="Tahoma"/>
          <w:sz w:val="20"/>
          <w:szCs w:val="20"/>
        </w:rPr>
      </w:pPr>
      <w:bookmarkStart w:id="0" w:name="_GoBack"/>
      <w:bookmarkEnd w:id="0"/>
    </w:p>
    <w:sectPr w:rsidR="00556816" w:rsidRPr="00D652EB">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5AC" w:rsidRDefault="004845AC">
      <w:r>
        <w:separator/>
      </w:r>
    </w:p>
  </w:endnote>
  <w:endnote w:type="continuationSeparator" w:id="0">
    <w:p w:rsidR="004845AC" w:rsidRDefault="0048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17681">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F17681">
            <w:rPr>
              <w:rStyle w:val="tevilkastrani"/>
              <w:noProof/>
              <w:sz w:val="16"/>
            </w:rPr>
            <w:t>2</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F4" w:rsidRDefault="00E813F4" w:rsidP="002507C2">
    <w:pPr>
      <w:pStyle w:val="Noga"/>
      <w:ind w:firstLine="540"/>
    </w:pPr>
    <w:r>
      <w:t xml:space="preserve">  </w:t>
    </w:r>
    <w:r w:rsidR="00B1286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5AC" w:rsidRDefault="004845AC">
      <w:r>
        <w:separator/>
      </w:r>
    </w:p>
  </w:footnote>
  <w:footnote w:type="continuationSeparator" w:id="0">
    <w:p w:rsidR="004845AC" w:rsidRDefault="0048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DA" w:rsidRDefault="00B12865">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07948"/>
    <w:rsid w:val="00016E2A"/>
    <w:rsid w:val="000320C1"/>
    <w:rsid w:val="000646A9"/>
    <w:rsid w:val="000F6CB7"/>
    <w:rsid w:val="00105D29"/>
    <w:rsid w:val="00176413"/>
    <w:rsid w:val="001836BB"/>
    <w:rsid w:val="001A0190"/>
    <w:rsid w:val="001B5C6D"/>
    <w:rsid w:val="001D37A5"/>
    <w:rsid w:val="00216549"/>
    <w:rsid w:val="002277CB"/>
    <w:rsid w:val="00243582"/>
    <w:rsid w:val="002507C2"/>
    <w:rsid w:val="00290551"/>
    <w:rsid w:val="002E7325"/>
    <w:rsid w:val="003133A6"/>
    <w:rsid w:val="00346B1F"/>
    <w:rsid w:val="003560E2"/>
    <w:rsid w:val="003579C0"/>
    <w:rsid w:val="003746B3"/>
    <w:rsid w:val="003F1D9B"/>
    <w:rsid w:val="00421760"/>
    <w:rsid w:val="00424A5A"/>
    <w:rsid w:val="0044323F"/>
    <w:rsid w:val="00467E7E"/>
    <w:rsid w:val="0048291C"/>
    <w:rsid w:val="004845AC"/>
    <w:rsid w:val="00486B32"/>
    <w:rsid w:val="004B34B5"/>
    <w:rsid w:val="004B7916"/>
    <w:rsid w:val="004D420A"/>
    <w:rsid w:val="00556816"/>
    <w:rsid w:val="00572C74"/>
    <w:rsid w:val="005A38F7"/>
    <w:rsid w:val="00605463"/>
    <w:rsid w:val="00621296"/>
    <w:rsid w:val="006279A0"/>
    <w:rsid w:val="00634B0D"/>
    <w:rsid w:val="00637BE6"/>
    <w:rsid w:val="00674017"/>
    <w:rsid w:val="006A1CB9"/>
    <w:rsid w:val="006B71CD"/>
    <w:rsid w:val="0070110B"/>
    <w:rsid w:val="00731B15"/>
    <w:rsid w:val="008141D9"/>
    <w:rsid w:val="00837E2E"/>
    <w:rsid w:val="00851BA3"/>
    <w:rsid w:val="008522B7"/>
    <w:rsid w:val="00867EF6"/>
    <w:rsid w:val="00897949"/>
    <w:rsid w:val="008E204D"/>
    <w:rsid w:val="00910BD2"/>
    <w:rsid w:val="00937717"/>
    <w:rsid w:val="00945D7A"/>
    <w:rsid w:val="009517BC"/>
    <w:rsid w:val="009B1FD9"/>
    <w:rsid w:val="009C4188"/>
    <w:rsid w:val="009C6425"/>
    <w:rsid w:val="009E4286"/>
    <w:rsid w:val="00A05C73"/>
    <w:rsid w:val="00A17575"/>
    <w:rsid w:val="00A3278B"/>
    <w:rsid w:val="00A34FFA"/>
    <w:rsid w:val="00AD3747"/>
    <w:rsid w:val="00AD72B9"/>
    <w:rsid w:val="00AE111E"/>
    <w:rsid w:val="00B12865"/>
    <w:rsid w:val="00BB7395"/>
    <w:rsid w:val="00C83E6A"/>
    <w:rsid w:val="00C96F4F"/>
    <w:rsid w:val="00CF442E"/>
    <w:rsid w:val="00D32585"/>
    <w:rsid w:val="00D53FCF"/>
    <w:rsid w:val="00D652EB"/>
    <w:rsid w:val="00D73BAE"/>
    <w:rsid w:val="00D8004D"/>
    <w:rsid w:val="00D86521"/>
    <w:rsid w:val="00DB7CDA"/>
    <w:rsid w:val="00E51016"/>
    <w:rsid w:val="00E51863"/>
    <w:rsid w:val="00E66D5B"/>
    <w:rsid w:val="00E676FE"/>
    <w:rsid w:val="00E813F4"/>
    <w:rsid w:val="00E86B5D"/>
    <w:rsid w:val="00EA1375"/>
    <w:rsid w:val="00EA48CC"/>
    <w:rsid w:val="00EC6909"/>
    <w:rsid w:val="00F17681"/>
    <w:rsid w:val="00F32F50"/>
    <w:rsid w:val="00F418FA"/>
    <w:rsid w:val="00F569DB"/>
    <w:rsid w:val="00F844B5"/>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FF53C4"/>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FF5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06008">
      <w:bodyDiv w:val="1"/>
      <w:marLeft w:val="0"/>
      <w:marRight w:val="0"/>
      <w:marTop w:val="0"/>
      <w:marBottom w:val="0"/>
      <w:divBdr>
        <w:top w:val="none" w:sz="0" w:space="0" w:color="auto"/>
        <w:left w:val="none" w:sz="0" w:space="0" w:color="auto"/>
        <w:bottom w:val="none" w:sz="0" w:space="0" w:color="auto"/>
        <w:right w:val="none" w:sz="0" w:space="0" w:color="auto"/>
      </w:divBdr>
    </w:div>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284</Words>
  <Characters>1664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Mojca Novak 1</cp:lastModifiedBy>
  <cp:revision>3</cp:revision>
  <cp:lastPrinted>2021-10-05T06:24:00Z</cp:lastPrinted>
  <dcterms:created xsi:type="dcterms:W3CDTF">2021-10-05T06:20:00Z</dcterms:created>
  <dcterms:modified xsi:type="dcterms:W3CDTF">2021-10-05T09:37:00Z</dcterms:modified>
</cp:coreProperties>
</file>